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30FC" w14:textId="3CB22A6F" w:rsidR="00DC5892" w:rsidRDefault="00DC5892" w:rsidP="00DC5892">
      <w:pPr>
        <w:jc w:val="center"/>
        <w:rPr>
          <w:sz w:val="36"/>
        </w:rPr>
      </w:pPr>
      <w:r w:rsidRPr="00DC5892">
        <w:rPr>
          <w:sz w:val="36"/>
        </w:rPr>
        <w:t>INTENTIONAL TEACHING ACTIVITY</w:t>
      </w:r>
    </w:p>
    <w:p w14:paraId="018DD35F" w14:textId="77777777" w:rsidR="00DC5892" w:rsidRPr="00DC5892" w:rsidRDefault="00DC5892" w:rsidP="00DC5892">
      <w:pPr>
        <w:jc w:val="center"/>
        <w:rPr>
          <w:sz w:val="36"/>
        </w:rPr>
      </w:pP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75"/>
      </w:tblGrid>
      <w:tr w:rsidR="00DC5892" w14:paraId="6D6C4BE7" w14:textId="77777777" w:rsidTr="00DC5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DE7" w14:textId="77777777" w:rsidR="00DC5892" w:rsidRDefault="00DC5892">
            <w:pPr>
              <w:pStyle w:val="Heading2"/>
              <w:spacing w:line="256" w:lineRule="auto"/>
              <w:rPr>
                <w:sz w:val="20"/>
              </w:rPr>
            </w:pPr>
          </w:p>
          <w:p w14:paraId="6B9CA931" w14:textId="77777777" w:rsidR="00DC5892" w:rsidRDefault="00DC5892">
            <w:pPr>
              <w:pStyle w:val="Heading2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Lesson Objective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86E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</w:p>
          <w:p w14:paraId="33974913" w14:textId="77777777" w:rsidR="00DC5892" w:rsidRDefault="00DC5892" w:rsidP="00766822">
            <w:pPr>
              <w:numPr>
                <w:ilvl w:val="0"/>
                <w:numId w:val="1"/>
              </w:numPr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Outlines the lesson objective, content to be covered and the rationale for the lesson. </w:t>
            </w:r>
          </w:p>
          <w:p w14:paraId="4DDB3425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</w:p>
        </w:tc>
      </w:tr>
      <w:tr w:rsidR="00DC5892" w14:paraId="7C9B26E5" w14:textId="77777777" w:rsidTr="00DC5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C4D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A4CB8A7" w14:textId="3ED63A63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Background Note for </w:t>
            </w:r>
            <w:r>
              <w:rPr>
                <w:rFonts w:ascii="Arial" w:hAnsi="Arial" w:cs="Arial"/>
                <w:b/>
                <w:bCs/>
                <w:sz w:val="20"/>
              </w:rPr>
              <w:t>Educators</w:t>
            </w:r>
          </w:p>
          <w:p w14:paraId="4C54C10C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627" w14:textId="77777777" w:rsidR="00DC5892" w:rsidRDefault="00DC5892">
            <w:pPr>
              <w:spacing w:line="256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</w:p>
          <w:p w14:paraId="1EEA8C7B" w14:textId="77777777" w:rsidR="00DC5892" w:rsidRDefault="00DC5892" w:rsidP="00766822">
            <w:pPr>
              <w:numPr>
                <w:ilvl w:val="0"/>
                <w:numId w:val="1"/>
              </w:numPr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>This section highlights the main knowledge underpinning the lesson plan and offers a synopsis of the information related to the specific module.  The information can also include directions for classroom use.</w:t>
            </w:r>
          </w:p>
          <w:p w14:paraId="271C1D42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</w:p>
        </w:tc>
      </w:tr>
      <w:tr w:rsidR="00DC5892" w14:paraId="069400DC" w14:textId="77777777" w:rsidTr="00DC5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8B0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8CA3E8D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Delivery Mode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F4E" w14:textId="77777777" w:rsidR="00DC5892" w:rsidRDefault="00DC5892">
            <w:pPr>
              <w:spacing w:line="256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</w:p>
          <w:p w14:paraId="2790D323" w14:textId="77777777" w:rsidR="00DC5892" w:rsidRDefault="00DC5892" w:rsidP="00766822">
            <w:pPr>
              <w:numPr>
                <w:ilvl w:val="0"/>
                <w:numId w:val="1"/>
              </w:numPr>
              <w:tabs>
                <w:tab w:val="num" w:pos="252"/>
              </w:tabs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>Indicates the teaching style recommended for this lesson and the resources required to deliver the lesson.</w:t>
            </w:r>
          </w:p>
          <w:p w14:paraId="7A00AA59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C5892" w14:paraId="2E2572D6" w14:textId="77777777" w:rsidTr="00DC5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A61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2881FDD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Time Allocation </w:t>
            </w:r>
          </w:p>
          <w:p w14:paraId="2B3B283E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CE4" w14:textId="77777777" w:rsidR="00DC5892" w:rsidRDefault="00DC5892">
            <w:pPr>
              <w:spacing w:line="256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</w:p>
          <w:p w14:paraId="318C5C8E" w14:textId="77777777" w:rsidR="00DC5892" w:rsidRDefault="00DC5892" w:rsidP="00766822">
            <w:pPr>
              <w:numPr>
                <w:ilvl w:val="0"/>
                <w:numId w:val="1"/>
              </w:numPr>
              <w:tabs>
                <w:tab w:val="num" w:pos="252"/>
              </w:tabs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>A suggested timeframe to complete the suggested activities.  This may vary according to school constraints.</w:t>
            </w:r>
          </w:p>
          <w:p w14:paraId="70C77020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</w:p>
        </w:tc>
      </w:tr>
      <w:tr w:rsidR="00DC5892" w14:paraId="6B3721EA" w14:textId="77777777" w:rsidTr="00DC5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547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13DB8752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Terminology Checklist</w:t>
            </w:r>
          </w:p>
          <w:p w14:paraId="67E31872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E72" w14:textId="77777777" w:rsidR="00DC5892" w:rsidRDefault="00DC5892">
            <w:pPr>
              <w:spacing w:line="256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</w:p>
          <w:p w14:paraId="0E5596A7" w14:textId="77777777" w:rsidR="00DC5892" w:rsidRDefault="00DC5892" w:rsidP="00766822">
            <w:pPr>
              <w:numPr>
                <w:ilvl w:val="0"/>
                <w:numId w:val="1"/>
              </w:numPr>
              <w:tabs>
                <w:tab w:val="num" w:pos="252"/>
              </w:tabs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>Included to assist teachers to familiarize themselves with the concepts presented in the lesson.  Teachers may find it useful to incorporate this checklist into a dictionary of words activity to support the lesson.</w:t>
            </w:r>
          </w:p>
          <w:p w14:paraId="048130BB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C5892" w14:paraId="3897D8D5" w14:textId="77777777" w:rsidTr="00DC5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FC0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1C8C3867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Activities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E1E" w14:textId="77777777" w:rsidR="00DC5892" w:rsidRDefault="00DC5892">
            <w:pPr>
              <w:spacing w:line="256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</w:p>
          <w:p w14:paraId="595F0F4D" w14:textId="77777777" w:rsidR="00DC5892" w:rsidRDefault="00DC5892" w:rsidP="00766822">
            <w:pPr>
              <w:numPr>
                <w:ilvl w:val="0"/>
                <w:numId w:val="1"/>
              </w:numPr>
              <w:tabs>
                <w:tab w:val="num" w:pos="252"/>
              </w:tabs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Each lesson is supported by at least two or three structured activities based on the appropriate </w:t>
            </w:r>
            <w:hyperlink r:id="rId8" w:history="1">
              <w:proofErr w:type="spellStart"/>
              <w:r>
                <w:rPr>
                  <w:rStyle w:val="Hyperlink"/>
                  <w:sz w:val="20"/>
                </w:rPr>
                <w:t>safe@work</w:t>
              </w:r>
              <w:proofErr w:type="spellEnd"/>
            </w:hyperlink>
            <w:r>
              <w:rPr>
                <w:sz w:val="20"/>
              </w:rPr>
              <w:t xml:space="preserve"> module.  The activities in Lesson 1 to 5 are suitable for whole class delivery.  Lesson 6 and 7 can be delivered as out of class activities or ‘self-paced’ lessons.</w:t>
            </w:r>
          </w:p>
          <w:p w14:paraId="2EDAE4F9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</w:p>
          <w:p w14:paraId="1E8F02CB" w14:textId="77777777" w:rsidR="00DC5892" w:rsidRDefault="00DC5892" w:rsidP="00766822">
            <w:pPr>
              <w:numPr>
                <w:ilvl w:val="0"/>
                <w:numId w:val="1"/>
              </w:numPr>
              <w:tabs>
                <w:tab w:val="num" w:pos="252"/>
              </w:tabs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>Lesson 8 is designed as a classroom activity with the possibility of group work and role-plays.   This lesson is a refresher lesson, to be completed twelve months after the General Module.  For example: if students complete the General Module in Year 9 they should complete the Review Module in Year 10 prior to the next work experience.</w:t>
            </w:r>
          </w:p>
          <w:p w14:paraId="6F6AF385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</w:p>
          <w:p w14:paraId="750D23FC" w14:textId="77777777" w:rsidR="00DC5892" w:rsidRDefault="00DC5892" w:rsidP="00766822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>Activities are primarily designed to cover a wide range of students learning styles.  Where possible students are directed to online learning activities to assist with the delivery of the module content.</w:t>
            </w:r>
          </w:p>
          <w:p w14:paraId="142A5F54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C5892" w14:paraId="1BAF8E52" w14:textId="77777777" w:rsidTr="00DC5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983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E536107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Lesson Review</w:t>
            </w:r>
          </w:p>
          <w:p w14:paraId="6FBE2C98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85D" w14:textId="77777777" w:rsidR="00DC5892" w:rsidRDefault="00DC5892">
            <w:pPr>
              <w:spacing w:line="256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</w:p>
          <w:p w14:paraId="3E308F72" w14:textId="77777777" w:rsidR="00DC5892" w:rsidRDefault="00DC5892" w:rsidP="00766822">
            <w:pPr>
              <w:numPr>
                <w:ilvl w:val="0"/>
                <w:numId w:val="2"/>
              </w:numPr>
              <w:tabs>
                <w:tab w:val="left" w:pos="252"/>
              </w:tabs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Some lessons have </w:t>
            </w:r>
            <w:proofErr w:type="gramStart"/>
            <w:r>
              <w:rPr>
                <w:sz w:val="20"/>
              </w:rPr>
              <w:t>a short time</w:t>
            </w:r>
            <w:proofErr w:type="gramEnd"/>
            <w:r>
              <w:rPr>
                <w:sz w:val="20"/>
              </w:rPr>
              <w:t xml:space="preserve"> allocated for reviewing Key Points.  The Lesson Review is a valuable opportunity to consolidate student knowledge.</w:t>
            </w:r>
          </w:p>
          <w:p w14:paraId="67FBE566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59C63DA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</w:p>
        </w:tc>
      </w:tr>
      <w:tr w:rsidR="00DC5892" w14:paraId="61319ACF" w14:textId="77777777" w:rsidTr="00DC5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763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74038242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Homework Task / Assessment Task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140" w14:textId="77777777" w:rsidR="00DC5892" w:rsidRDefault="00DC5892">
            <w:pPr>
              <w:spacing w:line="256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</w:p>
          <w:p w14:paraId="046D7716" w14:textId="77777777" w:rsidR="00DC5892" w:rsidRDefault="00DC5892" w:rsidP="00766822">
            <w:pPr>
              <w:numPr>
                <w:ilvl w:val="0"/>
                <w:numId w:val="2"/>
              </w:numPr>
              <w:tabs>
                <w:tab w:val="num" w:pos="252"/>
              </w:tabs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Each lesson gives </w:t>
            </w:r>
            <w:proofErr w:type="gramStart"/>
            <w:r>
              <w:rPr>
                <w:sz w:val="20"/>
              </w:rPr>
              <w:t>a number of</w:t>
            </w:r>
            <w:proofErr w:type="gramEnd"/>
            <w:r>
              <w:rPr>
                <w:sz w:val="20"/>
              </w:rPr>
              <w:t xml:space="preserve"> suggestions for suitable homework tasks that students can complete.  Homework tasks could also be used as assessment strategies, which may be used to </w:t>
            </w:r>
            <w:proofErr w:type="gramStart"/>
            <w:r>
              <w:rPr>
                <w:sz w:val="20"/>
              </w:rPr>
              <w:t>provide  assessment</w:t>
            </w:r>
            <w:proofErr w:type="gramEnd"/>
            <w:r>
              <w:rPr>
                <w:sz w:val="20"/>
              </w:rPr>
              <w:t xml:space="preserve"> for the VELS in a scheduled work education unit.</w:t>
            </w:r>
          </w:p>
          <w:p w14:paraId="767E2A81" w14:textId="77777777" w:rsidR="00DC5892" w:rsidRDefault="00DC5892">
            <w:pPr>
              <w:spacing w:line="256" w:lineRule="auto"/>
              <w:ind w:right="252"/>
              <w:jc w:val="both"/>
              <w:rPr>
                <w:sz w:val="20"/>
              </w:rPr>
            </w:pPr>
          </w:p>
        </w:tc>
      </w:tr>
      <w:tr w:rsidR="00DC5892" w14:paraId="4EB16389" w14:textId="77777777" w:rsidTr="00DC5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275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6BE44A0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Resources needed for Lesson Delivery / Resources for Teachers </w:t>
            </w:r>
          </w:p>
          <w:p w14:paraId="5C5B8AF6" w14:textId="77777777" w:rsidR="00DC5892" w:rsidRDefault="00DC5892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B3B" w14:textId="77777777" w:rsidR="00DC5892" w:rsidRDefault="00DC5892">
            <w:pPr>
              <w:spacing w:line="256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</w:p>
          <w:p w14:paraId="6C5D346E" w14:textId="77777777" w:rsidR="00DC5892" w:rsidRDefault="00DC5892" w:rsidP="00766822">
            <w:pPr>
              <w:numPr>
                <w:ilvl w:val="0"/>
                <w:numId w:val="3"/>
              </w:numPr>
              <w:tabs>
                <w:tab w:val="num" w:pos="252"/>
              </w:tabs>
              <w:spacing w:line="256" w:lineRule="auto"/>
              <w:ind w:left="252" w:right="252" w:hanging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Suggests the appropriate resources needed to deliver or support the lesson.  Directions to the </w:t>
            </w:r>
            <w:hyperlink r:id="rId9" w:history="1">
              <w:proofErr w:type="spellStart"/>
              <w:r>
                <w:rPr>
                  <w:rStyle w:val="Hyperlink"/>
                  <w:sz w:val="20"/>
                </w:rPr>
                <w:t>safe@work</w:t>
              </w:r>
              <w:proofErr w:type="spellEnd"/>
            </w:hyperlink>
            <w:r>
              <w:rPr>
                <w:sz w:val="20"/>
              </w:rPr>
              <w:t xml:space="preserve"> website supporting documents is also given. </w:t>
            </w:r>
          </w:p>
        </w:tc>
      </w:tr>
    </w:tbl>
    <w:p w14:paraId="2CD384C6" w14:textId="77777777" w:rsidR="00DC5892" w:rsidRDefault="00DC5892" w:rsidP="00DC5892">
      <w:pPr>
        <w:rPr>
          <w:rFonts w:eastAsia="Times New Roman"/>
          <w:lang w:val="en-US"/>
        </w:rPr>
      </w:pPr>
    </w:p>
    <w:p w14:paraId="5A87A643" w14:textId="15949966" w:rsidR="00C116B0" w:rsidRPr="007D4916" w:rsidRDefault="00C116B0" w:rsidP="007D4916">
      <w:r w:rsidRPr="007D4916">
        <w:t xml:space="preserve"> </w:t>
      </w:r>
    </w:p>
    <w:sectPr w:rsidR="00C116B0" w:rsidRPr="007D4916" w:rsidSect="00DC5892">
      <w:headerReference w:type="first" r:id="rId10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BE1B" w14:textId="77777777" w:rsidR="005A0862" w:rsidRDefault="005A0862" w:rsidP="00157172">
      <w:r>
        <w:separator/>
      </w:r>
    </w:p>
  </w:endnote>
  <w:endnote w:type="continuationSeparator" w:id="0">
    <w:p w14:paraId="300BB6BE" w14:textId="77777777" w:rsidR="005A0862" w:rsidRDefault="005A0862" w:rsidP="0015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0970" w14:textId="77777777" w:rsidR="005A0862" w:rsidRDefault="005A0862" w:rsidP="00157172">
      <w:r>
        <w:separator/>
      </w:r>
    </w:p>
  </w:footnote>
  <w:footnote w:type="continuationSeparator" w:id="0">
    <w:p w14:paraId="585DF49C" w14:textId="77777777" w:rsidR="005A0862" w:rsidRDefault="005A0862" w:rsidP="0015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3510" w14:textId="1267C7F7" w:rsidR="00AD2784" w:rsidRDefault="00DC5892" w:rsidP="00DC589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301063F" wp14:editId="70377401">
          <wp:simplePos x="0" y="0"/>
          <wp:positionH relativeFrom="margin">
            <wp:posOffset>-228600</wp:posOffset>
          </wp:positionH>
          <wp:positionV relativeFrom="margin">
            <wp:posOffset>-878205</wp:posOffset>
          </wp:positionV>
          <wp:extent cx="2716640" cy="7378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ysium OSHC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035" cy="73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213F2" w14:textId="77777777" w:rsidR="00AD2784" w:rsidRDefault="00AD2784">
    <w:pPr>
      <w:pStyle w:val="Header"/>
      <w:pBdr>
        <w:bottom w:val="single" w:sz="12" w:space="1" w:color="auto"/>
      </w:pBdr>
    </w:pPr>
  </w:p>
  <w:p w14:paraId="5C629FD2" w14:textId="4EB417B4" w:rsidR="00AD2784" w:rsidRDefault="00AD2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13F1"/>
    <w:multiLevelType w:val="hybridMultilevel"/>
    <w:tmpl w:val="8814F144"/>
    <w:lvl w:ilvl="0" w:tplc="69AC7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2146"/>
    <w:multiLevelType w:val="hybridMultilevel"/>
    <w:tmpl w:val="56820E08"/>
    <w:lvl w:ilvl="0" w:tplc="69AC7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1702"/>
    <w:multiLevelType w:val="hybridMultilevel"/>
    <w:tmpl w:val="BAB66022"/>
    <w:lvl w:ilvl="0" w:tplc="69AC7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72"/>
    <w:rsid w:val="00015ED9"/>
    <w:rsid w:val="000215C8"/>
    <w:rsid w:val="00086EAA"/>
    <w:rsid w:val="00121A74"/>
    <w:rsid w:val="00157172"/>
    <w:rsid w:val="001C6ADF"/>
    <w:rsid w:val="001D4A22"/>
    <w:rsid w:val="00271849"/>
    <w:rsid w:val="0029707C"/>
    <w:rsid w:val="00327EA8"/>
    <w:rsid w:val="00381F69"/>
    <w:rsid w:val="003874D7"/>
    <w:rsid w:val="00401331"/>
    <w:rsid w:val="004256E9"/>
    <w:rsid w:val="00432F81"/>
    <w:rsid w:val="00467530"/>
    <w:rsid w:val="00471C04"/>
    <w:rsid w:val="00525469"/>
    <w:rsid w:val="00530C07"/>
    <w:rsid w:val="00544B76"/>
    <w:rsid w:val="0056670E"/>
    <w:rsid w:val="005A0862"/>
    <w:rsid w:val="005C1A32"/>
    <w:rsid w:val="00652189"/>
    <w:rsid w:val="00661F6E"/>
    <w:rsid w:val="006B1EE9"/>
    <w:rsid w:val="006B51DC"/>
    <w:rsid w:val="00702167"/>
    <w:rsid w:val="00734379"/>
    <w:rsid w:val="00737C5C"/>
    <w:rsid w:val="007D4916"/>
    <w:rsid w:val="00851E6E"/>
    <w:rsid w:val="008751CA"/>
    <w:rsid w:val="0088570D"/>
    <w:rsid w:val="00892E30"/>
    <w:rsid w:val="008A064C"/>
    <w:rsid w:val="008A2B30"/>
    <w:rsid w:val="008D3BAE"/>
    <w:rsid w:val="008D4AFD"/>
    <w:rsid w:val="008E7F97"/>
    <w:rsid w:val="009122C2"/>
    <w:rsid w:val="0098000D"/>
    <w:rsid w:val="00A0354D"/>
    <w:rsid w:val="00A67BF5"/>
    <w:rsid w:val="00A753D6"/>
    <w:rsid w:val="00AD2784"/>
    <w:rsid w:val="00B77DE7"/>
    <w:rsid w:val="00C116B0"/>
    <w:rsid w:val="00C26AD6"/>
    <w:rsid w:val="00C42008"/>
    <w:rsid w:val="00CE44AC"/>
    <w:rsid w:val="00DC5892"/>
    <w:rsid w:val="00E173E3"/>
    <w:rsid w:val="00E6508E"/>
    <w:rsid w:val="00ED2B5E"/>
    <w:rsid w:val="00F4555F"/>
    <w:rsid w:val="00F568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FC2F0"/>
  <w15:docId w15:val="{3661ACE5-8E84-4D34-9F52-7B81A53B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5892"/>
    <w:pPr>
      <w:keepNext/>
      <w:outlineLvl w:val="1"/>
    </w:pPr>
    <w:rPr>
      <w:rFonts w:ascii="Arial" w:eastAsia="Times New Roman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571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7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72"/>
  </w:style>
  <w:style w:type="paragraph" w:styleId="Footer">
    <w:name w:val="footer"/>
    <w:basedOn w:val="Normal"/>
    <w:link w:val="FooterChar"/>
    <w:uiPriority w:val="99"/>
    <w:unhideWhenUsed/>
    <w:rsid w:val="00157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72"/>
  </w:style>
  <w:style w:type="paragraph" w:styleId="BalloonText">
    <w:name w:val="Balloon Text"/>
    <w:basedOn w:val="Normal"/>
    <w:link w:val="BalloonTextChar"/>
    <w:uiPriority w:val="99"/>
    <w:semiHidden/>
    <w:unhideWhenUsed/>
    <w:rsid w:val="00157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7172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E173E3"/>
    <w:rPr>
      <w:color w:val="0000FF"/>
      <w:u w:val="single"/>
    </w:rPr>
  </w:style>
  <w:style w:type="paragraph" w:customStyle="1" w:styleId="Body">
    <w:name w:val="Body"/>
    <w:link w:val="BodyChar"/>
    <w:rsid w:val="00432F81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lang w:val="en-US" w:eastAsia="en-US"/>
    </w:rPr>
  </w:style>
  <w:style w:type="character" w:customStyle="1" w:styleId="Insertionspace">
    <w:name w:val="Insertion space"/>
    <w:basedOn w:val="DefaultParagraphFont"/>
    <w:rsid w:val="00432F81"/>
    <w:rPr>
      <w:color w:val="FF0000"/>
    </w:rPr>
  </w:style>
  <w:style w:type="paragraph" w:customStyle="1" w:styleId="Letterheading">
    <w:name w:val="Letter heading"/>
    <w:rsid w:val="00432F81"/>
    <w:pPr>
      <w:spacing w:before="120" w:after="120"/>
      <w:jc w:val="center"/>
    </w:pPr>
    <w:rPr>
      <w:rFonts w:ascii="Arial" w:eastAsia="Times New Roman" w:hAnsi="Arial" w:cs="Arial"/>
      <w:b/>
      <w:szCs w:val="22"/>
      <w:lang w:val="en-US" w:eastAsia="en-US"/>
    </w:rPr>
  </w:style>
  <w:style w:type="character" w:customStyle="1" w:styleId="Instructionsbold">
    <w:name w:val="Instructions bold"/>
    <w:basedOn w:val="DefaultParagraphFont"/>
    <w:rsid w:val="00432F81"/>
    <w:rPr>
      <w:rFonts w:ascii="Arial" w:hAnsi="Arial"/>
      <w:b/>
      <w:color w:val="0082BE"/>
      <w:sz w:val="18"/>
    </w:rPr>
  </w:style>
  <w:style w:type="paragraph" w:customStyle="1" w:styleId="Table">
    <w:name w:val="Table"/>
    <w:basedOn w:val="Body"/>
    <w:rsid w:val="00432F81"/>
    <w:pPr>
      <w:spacing w:after="0" w:line="200" w:lineRule="exact"/>
    </w:pPr>
  </w:style>
  <w:style w:type="paragraph" w:customStyle="1" w:styleId="Instructions">
    <w:name w:val="Instructions"/>
    <w:rsid w:val="00432F81"/>
    <w:pPr>
      <w:spacing w:before="60" w:after="60" w:line="240" w:lineRule="exact"/>
    </w:pPr>
    <w:rPr>
      <w:rFonts w:ascii="Arial" w:eastAsia="Times New Roman" w:hAnsi="Arial"/>
      <w:i/>
      <w:color w:val="0082BE"/>
      <w:sz w:val="18"/>
      <w:lang w:val="en-US" w:eastAsia="en-US"/>
    </w:rPr>
  </w:style>
  <w:style w:type="character" w:customStyle="1" w:styleId="Bodybold">
    <w:name w:val="Body bold"/>
    <w:basedOn w:val="DefaultParagraphFont"/>
    <w:rsid w:val="00432F81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432F81"/>
    <w:rPr>
      <w:rFonts w:ascii="Arial" w:eastAsia="Times New Roman" w:hAnsi="Arial" w:cs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0354D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116B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DC5892"/>
    <w:rPr>
      <w:rFonts w:ascii="Arial" w:eastAsia="Times New Roman" w:hAnsi="Arial" w:cs="Arial"/>
      <w:b/>
      <w:bCs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@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@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45B7A-D95B-4926-AF41-C384ACD4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Toolbox Graphic Design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Milson</dc:creator>
  <cp:lastModifiedBy>Matthew Hine</cp:lastModifiedBy>
  <cp:revision>3</cp:revision>
  <cp:lastPrinted>2017-02-12T20:56:00Z</cp:lastPrinted>
  <dcterms:created xsi:type="dcterms:W3CDTF">2018-03-22T20:02:00Z</dcterms:created>
  <dcterms:modified xsi:type="dcterms:W3CDTF">2018-03-22T20:11:00Z</dcterms:modified>
</cp:coreProperties>
</file>